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18"/>
        </w:rPr>
      </w:pPr>
    </w:p>
    <w:p>
      <w:pPr>
        <w:spacing w:after="0"/>
        <w:rPr>
          <w:rFonts w:ascii="Times New Roman"/>
          <w:sz w:val="18"/>
        </w:rPr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480"/>
          <w:pgNumType w:start="1"/>
        </w:sectPr>
      </w:pPr>
    </w:p>
    <w:p>
      <w:pPr>
        <w:pStyle w:val="Heading1"/>
        <w:spacing w:before="91"/>
      </w:pPr>
      <w:r>
        <w:rPr/>
        <w:pict>
          <v:group style="position:absolute;margin-left:3.118575pt;margin-top:99.139702pt;width:589.15pt;height:420.45pt;mso-position-horizontal-relative:page;mso-position-vertical-relative:page;z-index:15728640" id="docshapegroup4" coordorigin="62,1983" coordsize="11783,8409">
            <v:shape style="position:absolute;left:62;top:1982;width:11766;height:1361" id="docshape5" coordorigin="62,1983" coordsize="11766,1361" path="m11828,1983l11289,1983,62,1983,62,3315,62,3344,573,3344,573,3315,11289,3315,11828,3315,11828,1983xe" filled="true" fillcolor="#f4f4f4" stroked="false">
              <v:path arrowok="t"/>
              <v:fill type="solid"/>
            </v:shape>
            <v:rect style="position:absolute;left:572;top:3315;width:681;height:29" id="docshape6" filled="true" fillcolor="#ff0000" stroked="false">
              <v:fill type="solid"/>
            </v:rect>
            <v:shape style="position:absolute;left:62;top:3315;width:11783;height:1010" id="docshape7" coordorigin="62,3315" coordsize="11783,1010" path="m11845,3315l1253,3315,1253,3344,62,3344,62,4324,2897,4324,3464,4324,3464,3344,11845,3344,11845,3315xe" filled="true" fillcolor="#f4f4f4" stroked="false">
              <v:path arrowok="t"/>
              <v:fill type="solid"/>
            </v:shape>
            <v:shape style="position:absolute;left:2942;top:3400;width:420;height:454" type="#_x0000_t75" id="docshape8" stroked="false">
              <v:imagedata r:id="rId7" o:title=""/>
            </v:shape>
            <v:shape style="position:absolute;left:62;top:3343;width:11766;height:1492" id="docshape9" coordorigin="62,3344" coordsize="11766,1492" path="m3464,4324l2897,4324,62,4324,62,4835,2897,4835,3464,4835,3464,4324xm11828,3344l11289,3344,4882,3344,3464,3344,3464,4324,4882,4324,11289,4324,11828,4324,11828,3344xe" filled="true" fillcolor="#f4f4f4" stroked="false">
              <v:path arrowok="t"/>
              <v:fill type="solid"/>
            </v:shape>
            <v:shape style="position:absolute;left:2942;top:4381;width:420;height:454" type="#_x0000_t75" id="docshape10" stroked="false">
              <v:imagedata r:id="rId8" o:title=""/>
            </v:shape>
            <v:shape style="position:absolute;left:62;top:4324;width:11772;height:993" id="docshape11" coordorigin="62,4324" coordsize="11772,993" path="m3464,4835l2897,4835,62,4835,62,5317,2897,5317,3464,5317,3464,4835xm11834,4324l11119,4324,4882,4324,3464,4324,3464,4835,4882,4835,11119,4835,11834,4835,11834,4324xe" filled="true" fillcolor="#f4f4f4" stroked="false">
              <v:path arrowok="t"/>
              <v:fill type="solid"/>
            </v:shape>
            <v:shape style="position:absolute;left:2942;top:4863;width:420;height:454" type="#_x0000_t75" id="docshape12" stroked="false">
              <v:imagedata r:id="rId9" o:title=""/>
            </v:shape>
            <v:shape style="position:absolute;left:62;top:4834;width:11783;height:1021" id="docshape13" coordorigin="62,4835" coordsize="11783,1021" path="m11845,5317l11828,5317,11828,4835,11289,4835,4882,4835,3464,4835,3464,5317,2897,5317,62,5317,62,5855,2897,5855,7615,5855,11289,5855,11845,5855,11845,5317xe" filled="true" fillcolor="#f4f4f4" stroked="false">
              <v:path arrowok="t"/>
              <v:fill type="solid"/>
            </v:shape>
            <v:rect style="position:absolute;left:2897;top:5832;width:4718;height:23" id="docshape14" filled="true" fillcolor="#dcdcdc" stroked="false">
              <v:fill type="solid"/>
            </v:rect>
            <v:line style="position:absolute" from="2909,5844" to="7604,5844" stroked="true" strokeweight="0pt" strokecolor="#dcdcdc">
              <v:stroke dashstyle="solid"/>
            </v:line>
            <v:rect style="position:absolute;left:7615;top:5832;width:3675;height:23" id="docshape15" filled="true" fillcolor="#dcdcdc" stroked="false">
              <v:fill type="solid"/>
            </v:rect>
            <v:line style="position:absolute" from="7626,5844" to="11278,5844" stroked="true" strokeweight="0pt" strokecolor="#dcdcdc">
              <v:stroke dashstyle="solid"/>
            </v:line>
            <v:shape style="position:absolute;left:62;top:5855;width:11783;height:256" id="docshape16" coordorigin="62,5855" coordsize="11783,256" path="m11845,5855l11289,5855,7615,5855,2897,5855,62,5855,62,6110,2897,6110,7615,6110,11289,6110,11845,6110,11845,5855xe" filled="true" fillcolor="#f4f4f4" stroked="false">
              <v:path arrowok="t"/>
              <v:fill type="solid"/>
            </v:shape>
            <v:rect style="position:absolute;left:2897;top:6087;width:4718;height:23" id="docshape17" filled="true" fillcolor="#dcdcdc" stroked="false">
              <v:fill type="solid"/>
            </v:rect>
            <v:line style="position:absolute" from="2909,6099" to="7604,6099" stroked="true" strokeweight="0pt" strokecolor="#dcdcdc">
              <v:stroke dashstyle="solid"/>
            </v:line>
            <v:rect style="position:absolute;left:7615;top:6087;width:3675;height:23" id="docshape18" filled="true" fillcolor="#dcdcdc" stroked="false">
              <v:fill type="solid"/>
            </v:rect>
            <v:line style="position:absolute" from="7626,6099" to="11278,6099" stroked="true" strokeweight="0pt" strokecolor="#dcdcdc">
              <v:stroke dashstyle="solid"/>
            </v:line>
            <v:shape style="position:absolute;left:62;top:6110;width:11783;height:256" id="docshape19" coordorigin="62,6110" coordsize="11783,256" path="m11845,6110l11289,6110,7615,6110,2897,6110,62,6110,62,6365,2897,6365,7615,6365,11289,6365,11845,6365,11845,6110xe" filled="true" fillcolor="#f4f4f4" stroked="false">
              <v:path arrowok="t"/>
              <v:fill type="solid"/>
            </v:shape>
            <v:rect style="position:absolute;left:2897;top:6342;width:4718;height:23" id="docshape20" filled="true" fillcolor="#dcdcdc" stroked="false">
              <v:fill type="solid"/>
            </v:rect>
            <v:line style="position:absolute" from="2909,6354" to="7604,6354" stroked="true" strokeweight="0pt" strokecolor="#dcdcdc">
              <v:stroke dashstyle="solid"/>
            </v:line>
            <v:rect style="position:absolute;left:7615;top:6342;width:3675;height:23" id="docshape21" filled="true" fillcolor="#dcdcdc" stroked="false">
              <v:fill type="solid"/>
            </v:rect>
            <v:line style="position:absolute" from="7626,6354" to="11278,6354" stroked="true" strokeweight="0pt" strokecolor="#dcdcdc">
              <v:stroke dashstyle="solid"/>
            </v:line>
            <v:shape style="position:absolute;left:62;top:6365;width:11783;height:511" id="docshape22" coordorigin="62,6365" coordsize="11783,511" path="m11845,6365l11289,6365,7615,6365,2897,6365,62,6365,62,6876,2897,6876,7615,6876,11289,6876,11845,6876,11845,6365xe" filled="true" fillcolor="#f4f4f4" stroked="false">
              <v:path arrowok="t"/>
              <v:fill type="solid"/>
            </v:shape>
            <v:rect style="position:absolute;left:2897;top:6853;width:4718;height:23" id="docshape23" filled="true" fillcolor="#dcdcdc" stroked="false">
              <v:fill type="solid"/>
            </v:rect>
            <v:line style="position:absolute" from="2909,6864" to="7604,6864" stroked="true" strokeweight="0pt" strokecolor="#dcdcdc">
              <v:stroke dashstyle="solid"/>
            </v:line>
            <v:rect style="position:absolute;left:7615;top:6853;width:3675;height:23" id="docshape24" filled="true" fillcolor="#dcdcdc" stroked="false">
              <v:fill type="solid"/>
            </v:rect>
            <v:line style="position:absolute" from="7626,6864" to="11278,6864" stroked="true" strokeweight="0pt" strokecolor="#dcdcdc">
              <v:stroke dashstyle="solid"/>
            </v:line>
            <v:shape style="position:absolute;left:62;top:6875;width:11783;height:256" id="docshape25" coordorigin="62,6876" coordsize="11783,256" path="m11845,6876l11289,6876,7615,6876,2897,6876,62,6876,62,7131,2897,7131,7615,7131,11289,7131,11845,7131,11845,6876xe" filled="true" fillcolor="#f4f4f4" stroked="false">
              <v:path arrowok="t"/>
              <v:fill type="solid"/>
            </v:shape>
            <v:rect style="position:absolute;left:2897;top:7108;width:4718;height:23" id="docshape26" filled="true" fillcolor="#dcdcdc" stroked="false">
              <v:fill type="solid"/>
            </v:rect>
            <v:line style="position:absolute" from="2909,7120" to="7604,7120" stroked="true" strokeweight="0pt" strokecolor="#dcdcdc">
              <v:stroke dashstyle="solid"/>
            </v:line>
            <v:rect style="position:absolute;left:7615;top:7108;width:3675;height:23" id="docshape27" filled="true" fillcolor="#dcdcdc" stroked="false">
              <v:fill type="solid"/>
            </v:rect>
            <v:line style="position:absolute" from="7626,7120" to="11278,7120" stroked="true" strokeweight="0pt" strokecolor="#dcdcdc">
              <v:stroke dashstyle="solid"/>
            </v:line>
            <v:shape style="position:absolute;left:62;top:7130;width:11783;height:256" id="docshape28" coordorigin="62,7131" coordsize="11783,256" path="m11845,7131l11289,7131,7615,7131,2897,7131,62,7131,62,7386,2897,7386,7615,7386,11289,7386,11845,7386,11845,7131xe" filled="true" fillcolor="#f4f4f4" stroked="false">
              <v:path arrowok="t"/>
              <v:fill type="solid"/>
            </v:shape>
            <v:rect style="position:absolute;left:2897;top:7363;width:4718;height:23" id="docshape29" filled="true" fillcolor="#dcdcdc" stroked="false">
              <v:fill type="solid"/>
            </v:rect>
            <v:line style="position:absolute" from="2909,7375" to="7604,7375" stroked="true" strokeweight="0pt" strokecolor="#dcdcdc">
              <v:stroke dashstyle="solid"/>
            </v:line>
            <v:rect style="position:absolute;left:7615;top:7363;width:3675;height:23" id="docshape30" filled="true" fillcolor="#dcdcdc" stroked="false">
              <v:fill type="solid"/>
            </v:rect>
            <v:line style="position:absolute" from="7626,7375" to="11278,7375" stroked="true" strokeweight="0pt" strokecolor="#dcdcdc">
              <v:stroke dashstyle="solid"/>
            </v:line>
            <v:shape style="position:absolute;left:62;top:7386;width:11783;height:256" id="docshape31" coordorigin="62,7386" coordsize="11783,256" path="m11845,7386l11289,7386,7615,7386,2897,7386,62,7386,62,7641,2897,7641,7615,7641,11289,7641,11845,7641,11845,7386xe" filled="true" fillcolor="#f4f4f4" stroked="false">
              <v:path arrowok="t"/>
              <v:fill type="solid"/>
            </v:shape>
            <v:rect style="position:absolute;left:2897;top:7618;width:4718;height:23" id="docshape32" filled="true" fillcolor="#dcdcdc" stroked="false">
              <v:fill type="solid"/>
            </v:rect>
            <v:line style="position:absolute" from="2909,7630" to="7604,7630" stroked="true" strokeweight="0pt" strokecolor="#dcdcdc">
              <v:stroke dashstyle="solid"/>
            </v:line>
            <v:rect style="position:absolute;left:7615;top:7618;width:3675;height:23" id="docshape33" filled="true" fillcolor="#dcdcdc" stroked="false">
              <v:fill type="solid"/>
            </v:rect>
            <v:line style="position:absolute" from="7626,7630" to="11278,7630" stroked="true" strokeweight="0pt" strokecolor="#dcdcdc">
              <v:stroke dashstyle="solid"/>
            </v:line>
            <v:shape style="position:absolute;left:62;top:7641;width:11783;height:256" id="docshape34" coordorigin="62,7641" coordsize="11783,256" path="m11845,7641l11289,7641,7615,7641,2897,7641,62,7641,62,7896,2897,7896,7615,7896,11289,7896,11845,7896,11845,7641xe" filled="true" fillcolor="#f4f4f4" stroked="false">
              <v:path arrowok="t"/>
              <v:fill type="solid"/>
            </v:shape>
            <v:rect style="position:absolute;left:2897;top:7873;width:4718;height:23" id="docshape35" filled="true" fillcolor="#dcdcdc" stroked="false">
              <v:fill type="solid"/>
            </v:rect>
            <v:line style="position:absolute" from="2909,7885" to="7604,7885" stroked="true" strokeweight="0pt" strokecolor="#dcdcdc">
              <v:stroke dashstyle="solid"/>
            </v:line>
            <v:rect style="position:absolute;left:7615;top:7873;width:3675;height:23" id="docshape36" filled="true" fillcolor="#dcdcdc" stroked="false">
              <v:fill type="solid"/>
            </v:rect>
            <v:line style="position:absolute" from="7626,7885" to="11278,7885" stroked="true" strokeweight="0pt" strokecolor="#dcdcdc">
              <v:stroke dashstyle="solid"/>
            </v:line>
            <v:shape style="position:absolute;left:62;top:7896;width:11783;height:256" id="docshape37" coordorigin="62,7896" coordsize="11783,256" path="m11845,7896l11289,7896,7615,7896,2897,7896,62,7896,62,8151,2897,8151,7615,8151,11289,8151,11845,8151,11845,7896xe" filled="true" fillcolor="#f4f4f4" stroked="false">
              <v:path arrowok="t"/>
              <v:fill type="solid"/>
            </v:shape>
            <v:rect style="position:absolute;left:2897;top:8128;width:4718;height:23" id="docshape38" filled="true" fillcolor="#dcdcdc" stroked="false">
              <v:fill type="solid"/>
            </v:rect>
            <v:line style="position:absolute" from="2909,8140" to="7604,8140" stroked="true" strokeweight="0pt" strokecolor="#dcdcdc">
              <v:stroke dashstyle="solid"/>
            </v:line>
            <v:rect style="position:absolute;left:7615;top:8128;width:3675;height:23" id="docshape39" filled="true" fillcolor="#dcdcdc" stroked="false">
              <v:fill type="solid"/>
            </v:rect>
            <v:line style="position:absolute" from="7626,8140" to="11278,8140" stroked="true" strokeweight="0pt" strokecolor="#dcdcdc">
              <v:stroke dashstyle="solid"/>
            </v:line>
            <v:shape style="position:absolute;left:62;top:8151;width:11783;height:539" id="docshape40" coordorigin="62,8151" coordsize="11783,539" path="m11845,8151l11289,8151,7615,8151,2897,8151,62,8151,62,8690,2897,8690,7615,8690,11289,8690,11845,8690,11845,8151xe" filled="true" fillcolor="#f4f4f4" stroked="false">
              <v:path arrowok="t"/>
              <v:fill type="solid"/>
            </v:shape>
            <v:rect style="position:absolute;left:2897;top:8667;width:4718;height:23" id="docshape41" filled="true" fillcolor="#dcdcdc" stroked="false">
              <v:fill type="solid"/>
            </v:rect>
            <v:line style="position:absolute" from="2909,8679" to="7604,8679" stroked="true" strokeweight="0pt" strokecolor="#dcdcdc">
              <v:stroke dashstyle="solid"/>
            </v:line>
            <v:rect style="position:absolute;left:7615;top:8667;width:3675;height:23" id="docshape42" filled="true" fillcolor="#dcdcdc" stroked="false">
              <v:fill type="solid"/>
            </v:rect>
            <v:line style="position:absolute" from="7626,8679" to="11278,8679" stroked="true" strokeweight="0pt" strokecolor="#dcdcdc">
              <v:stroke dashstyle="solid"/>
            </v:line>
            <v:shape style="position:absolute;left:62;top:8690;width:11783;height:256" id="docshape43" coordorigin="62,8690" coordsize="11783,256" path="m11845,8690l11289,8690,7615,8690,2897,8690,62,8690,62,8945,2897,8945,7615,8945,11289,8945,11845,8945,11845,8690xe" filled="true" fillcolor="#f4f4f4" stroked="false">
              <v:path arrowok="t"/>
              <v:fill type="solid"/>
            </v:shape>
            <v:rect style="position:absolute;left:2897;top:8922;width:4718;height:23" id="docshape44" filled="true" fillcolor="#dcdcdc" stroked="false">
              <v:fill type="solid"/>
            </v:rect>
            <v:line style="position:absolute" from="2909,8934" to="7604,8934" stroked="true" strokeweight="0pt" strokecolor="#dcdcdc">
              <v:stroke dashstyle="solid"/>
            </v:line>
            <v:rect style="position:absolute;left:7615;top:8922;width:3675;height:23" id="docshape45" filled="true" fillcolor="#dcdcdc" stroked="false">
              <v:fill type="solid"/>
            </v:rect>
            <v:line style="position:absolute" from="7626,8934" to="11278,8934" stroked="true" strokeweight="0pt" strokecolor="#dcdcdc">
              <v:stroke dashstyle="solid"/>
            </v:line>
            <v:shape style="position:absolute;left:62;top:8945;width:11783;height:539" id="docshape46" coordorigin="62,8945" coordsize="11783,539" path="m11845,8945l11289,8945,7615,8945,2897,8945,62,8945,62,9484,2897,9484,7615,9484,11289,9484,11845,9484,11845,8945xe" filled="true" fillcolor="#f4f4f4" stroked="false">
              <v:path arrowok="t"/>
              <v:fill type="solid"/>
            </v:shape>
            <v:rect style="position:absolute;left:2897;top:9461;width:4718;height:23" id="docshape47" filled="true" fillcolor="#dcdcdc" stroked="false">
              <v:fill type="solid"/>
            </v:rect>
            <v:line style="position:absolute" from="2909,9472" to="7604,9472" stroked="true" strokeweight="0pt" strokecolor="#dcdcdc">
              <v:stroke dashstyle="solid"/>
            </v:line>
            <v:rect style="position:absolute;left:7615;top:9461;width:3675;height:23" id="docshape48" filled="true" fillcolor="#dcdcdc" stroked="false">
              <v:fill type="solid"/>
            </v:rect>
            <v:line style="position:absolute" from="7626,9472" to="11278,9472" stroked="true" strokeweight="0pt" strokecolor="#dcdcdc">
              <v:stroke dashstyle="solid"/>
            </v:line>
            <v:shape style="position:absolute;left:62;top:9483;width:11783;height:256" id="docshape49" coordorigin="62,9484" coordsize="11783,256" path="m11845,9484l11289,9484,7615,9484,2897,9484,62,9484,62,9739,2897,9739,7615,9739,11289,9739,11845,9739,11845,9484xe" filled="true" fillcolor="#f4f4f4" stroked="false">
              <v:path arrowok="t"/>
              <v:fill type="solid"/>
            </v:shape>
            <v:rect style="position:absolute;left:2897;top:9716;width:4718;height:23" id="docshape50" filled="true" fillcolor="#dcdcdc" stroked="false">
              <v:fill type="solid"/>
            </v:rect>
            <v:line style="position:absolute" from="2909,9728" to="7604,9728" stroked="true" strokeweight="0pt" strokecolor="#dcdcdc">
              <v:stroke dashstyle="solid"/>
            </v:line>
            <v:rect style="position:absolute;left:7615;top:9716;width:3675;height:23" id="docshape51" filled="true" fillcolor="#dcdcdc" stroked="false">
              <v:fill type="solid"/>
            </v:rect>
            <v:line style="position:absolute" from="7626,9728" to="11278,9728" stroked="true" strokeweight="0pt" strokecolor="#dcdcdc">
              <v:stroke dashstyle="solid"/>
            </v:line>
            <v:shape style="position:absolute;left:62;top:9738;width:11783;height:256" id="docshape52" coordorigin="62,9739" coordsize="11783,256" path="m11845,9739l11289,9739,7615,9739,2897,9739,62,9739,62,9994,2897,9994,7615,9994,11289,9994,11845,9994,11845,9739xe" filled="true" fillcolor="#f4f4f4" stroked="false">
              <v:path arrowok="t"/>
              <v:fill type="solid"/>
            </v:shape>
            <v:rect style="position:absolute;left:2897;top:9971;width:4718;height:23" id="docshape53" filled="true" fillcolor="#dcdcdc" stroked="false">
              <v:fill type="solid"/>
            </v:rect>
            <v:line style="position:absolute" from="2909,9983" to="7604,9983" stroked="true" strokeweight="0pt" strokecolor="#dcdcdc">
              <v:stroke dashstyle="solid"/>
            </v:line>
            <v:rect style="position:absolute;left:7615;top:9971;width:3675;height:23" id="docshape54" filled="true" fillcolor="#dcdcdc" stroked="false">
              <v:fill type="solid"/>
            </v:rect>
            <v:line style="position:absolute" from="7626,9983" to="11278,9983" stroked="true" strokeweight="0pt" strokecolor="#dcdcdc">
              <v:stroke dashstyle="solid"/>
            </v:line>
            <v:rect style="position:absolute;left:62;top:9994;width:11772;height:397" id="docshape55" filled="true" fillcolor="#f4f4f4" stroked="false">
              <v:fill type="solid"/>
            </v:rect>
            <v:shape style="position:absolute;left:572;top:2243;width:10124;height:522" type="#_x0000_t202" id="docshape56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Ferrure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pour</w:t>
                    </w:r>
                    <w:r>
                      <w:rPr>
                        <w:b/>
                        <w:color w:val="003C78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portes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bois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à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haut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jusqu’à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100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rail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de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en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applique.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Isolation</w:t>
                    </w:r>
                    <w:r>
                      <w:rPr>
                        <w:b/>
                        <w:color w:val="003C78"/>
                        <w:spacing w:val="-1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phonique.</w:t>
                    </w:r>
                    <w:r>
                      <w:rPr>
                        <w:b/>
                        <w:color w:val="003C78"/>
                        <w:spacing w:val="-1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Montage</w:t>
                    </w:r>
                    <w:r>
                      <w:rPr>
                        <w:b/>
                        <w:color w:val="003C78"/>
                        <w:spacing w:val="-1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mural.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Hauteur</w:t>
                    </w:r>
                    <w:r>
                      <w:rPr>
                        <w:b/>
                        <w:color w:val="003C78"/>
                        <w:spacing w:val="-1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d’installation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minimale.</w:t>
                    </w:r>
                  </w:p>
                </w:txbxContent>
              </v:textbox>
              <w10:wrap type="none"/>
            </v:shape>
            <v:shape style="position:absolute;left:572;top:3508;width:1420;height:199" type="#_x0000_t202" id="docshape57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Produit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phares</w:t>
                    </w:r>
                  </w:p>
                </w:txbxContent>
              </v:textbox>
              <w10:wrap type="none"/>
            </v:shape>
            <v:shape style="position:absolute;left:3464;top:3508;width:748;height:199" type="#_x0000_t202" id="docshape58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Confort</w:t>
                    </w:r>
                  </w:p>
                </w:txbxContent>
              </v:textbox>
              <w10:wrap type="none"/>
            </v:shape>
            <v:shape style="position:absolute;left:4881;top:3502;width:6290;height:664" type="#_x0000_t202" id="docshape59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Important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confort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d’habitation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grâce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à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une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isolation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efficace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contre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le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bruit,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les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courants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d'air,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les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odeurs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ainsi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que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l'exposition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non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désirée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à la lumière</w:t>
                    </w:r>
                  </w:p>
                </w:txbxContent>
              </v:textbox>
              <w10:wrap type="none"/>
            </v:shape>
            <v:shape style="position:absolute;left:3464;top:4488;width:917;height:199" type="#_x0000_t202" id="docshape60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Flexibilité</w:t>
                    </w:r>
                  </w:p>
                </w:txbxContent>
              </v:textbox>
              <w10:wrap type="none"/>
            </v:shape>
            <v:shape style="position:absolute;left:4881;top:4483;width:5077;height:199" type="#_x0000_t202" id="docshape61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Cache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bois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à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poser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ou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alu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intégré dans le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système</w:t>
                    </w:r>
                  </w:p>
                </w:txbxContent>
              </v:textbox>
              <w10:wrap type="none"/>
            </v:shape>
            <v:shape style="position:absolute;left:3464;top:4993;width:4147;height:205" type="#_x0000_t202" id="docshape62" filled="false" stroked="false">
              <v:textbox inset="0,0,0,0">
                <w:txbxContent>
                  <w:p>
                    <w:pPr>
                      <w:tabs>
                        <w:tab w:pos="1417" w:val="left" w:leader="none"/>
                      </w:tabs>
                      <w:spacing w:line="19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Productivité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Montage</w:t>
                    </w:r>
                    <w:r>
                      <w:rPr>
                        <w:spacing w:val="-7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de</w:t>
                    </w:r>
                    <w:r>
                      <w:rPr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la</w:t>
                    </w:r>
                    <w:r>
                      <w:rPr>
                        <w:spacing w:val="-7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porte</w:t>
                    </w:r>
                    <w:r>
                      <w:rPr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sans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outil</w:t>
                    </w:r>
                  </w:p>
                </w:txbxContent>
              </v:textbox>
              <w10:wrap type="none"/>
            </v:shape>
            <v:shape style="position:absolute;left:572;top:5645;width:5773;height:2496" type="#_x0000_t202" id="docshape63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Consignes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techniques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Poids</w:t>
                    </w:r>
                    <w:r>
                      <w:rPr>
                        <w:spacing w:val="-5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de</w:t>
                    </w:r>
                    <w:r>
                      <w:rPr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la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porte</w:t>
                    </w:r>
                  </w:p>
                  <w:p>
                    <w:pPr>
                      <w:spacing w:line="261" w:lineRule="auto" w:before="10"/>
                      <w:ind w:left="2324" w:right="113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Épaisseur de la porte Max.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Hauteur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la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porte</w:t>
                    </w:r>
                  </w:p>
                  <w:p>
                    <w:pPr>
                      <w:spacing w:before="126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Largeur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porte</w:t>
                    </w:r>
                  </w:p>
                  <w:p>
                    <w:pPr>
                      <w:spacing w:line="261" w:lineRule="auto" w:before="153"/>
                      <w:ind w:left="2324" w:right="118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Hauteur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d`ouverture Réglage en hauteur </w:t>
                    </w:r>
                    <w:r>
                      <w:rPr>
                        <w:spacing w:val="-2"/>
                        <w:sz w:val="20"/>
                      </w:rPr>
                      <w:t>Amortissement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Matérielle de porte</w:t>
                    </w:r>
                  </w:p>
                  <w:p>
                    <w:pPr>
                      <w:spacing w:before="3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Couleur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finition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des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profilés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visibles</w:t>
                    </w:r>
                  </w:p>
                </w:txbxContent>
              </v:textbox>
              <w10:wrap type="none"/>
            </v:shape>
            <v:shape style="position:absolute;left:7614;top:5645;width:2170;height:2496" type="#_x0000_t202" id="docshape64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39–45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2500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750–1250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pacing w:val="-7"/>
                        <w:sz w:val="20"/>
                      </w:rPr>
                      <w:t>mm</w:t>
                    </w:r>
                  </w:p>
                  <w:p>
                    <w:pPr>
                      <w:spacing w:line="261" w:lineRule="auto" w:before="22"/>
                      <w:ind w:left="0" w:right="0" w:hanging="1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Largeur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intérieure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(LMB) 1250 mm</w:t>
                    </w:r>
                  </w:p>
                  <w:p>
                    <w:pPr>
                      <w:spacing w:line="261" w:lineRule="auto" w:before="1"/>
                      <w:ind w:left="0" w:right="103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2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 </w:t>
                    </w:r>
                    <w:r>
                      <w:rPr>
                        <w:spacing w:val="-4"/>
                        <w:sz w:val="20"/>
                      </w:rPr>
                      <w:t>Non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Bois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Aluminium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anodisé</w:t>
                    </w:r>
                  </w:p>
                </w:txbxContent>
              </v:textbox>
              <w10:wrap type="none"/>
            </v:shape>
            <v:shape style="position:absolute;left:572;top:8491;width:1886;height:199" type="#_x0000_t202" id="docshape65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Version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du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système</w:t>
                    </w:r>
                  </w:p>
                </w:txbxContent>
              </v:textbox>
              <w10:wrap type="none"/>
            </v:shape>
            <v:shape style="position:absolute;left:2897;top:8480;width:1818;height:455" type="#_x0000_t202" id="docshape66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Montage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mural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À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roulement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haut</w:t>
                    </w:r>
                  </w:p>
                </w:txbxContent>
              </v:textbox>
              <w10:wrap type="none"/>
            </v:shape>
            <v:shape style="position:absolute;left:7615;top:8480;width:325;height:455" type="#_x0000_t202" id="docshape67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v:shape style="position:absolute;left:572;top:9274;width:5927;height:710" type="#_x0000_t202" id="docshape68" filled="false" stroked="false">
              <v:textbox inset="0,0,0,0">
                <w:txbxContent>
                  <w:p>
                    <w:pPr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Suggestion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d`utilisation</w:t>
                    </w:r>
                    <w:r>
                      <w:rPr>
                        <w:b/>
                        <w:spacing w:val="3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Utilisation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légère</w:t>
                    </w:r>
                    <w:r>
                      <w:rPr>
                        <w:spacing w:val="-4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/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Accès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privé</w:t>
                    </w:r>
                  </w:p>
                  <w:p>
                    <w:pPr>
                      <w:spacing w:line="261" w:lineRule="auto" w:before="5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Utilisation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moyenne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Accès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semi-public Utilisation élevée / Accès public</w:t>
                    </w:r>
                  </w:p>
                </w:txbxContent>
              </v:textbox>
              <w10:wrap type="none"/>
            </v:shape>
            <v:shape style="position:absolute;left:7615;top:9274;width:325;height:710" type="#_x0000_t202" id="docshape69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  <w:p>
                    <w:pPr>
                      <w:spacing w:line="261" w:lineRule="auto" w:before="17"/>
                      <w:ind w:left="0" w:right="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Oui </w:t>
                    </w: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Tests</w:t>
      </w:r>
      <w:r>
        <w:rPr>
          <w:spacing w:val="-3"/>
        </w:rPr>
        <w:t> </w:t>
      </w:r>
      <w:r>
        <w:rPr>
          <w:spacing w:val="-2"/>
        </w:rPr>
        <w:t>réalisés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22"/>
        </w:rPr>
      </w:pPr>
    </w:p>
    <w:p>
      <w:pPr>
        <w:spacing w:before="0"/>
        <w:ind w:left="112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Garantie</w:t>
      </w:r>
    </w:p>
    <w:p>
      <w:pPr>
        <w:pStyle w:val="BodyText"/>
        <w:spacing w:before="100"/>
        <w:ind w:left="112" w:right="694"/>
      </w:pPr>
      <w:r>
        <w:rPr/>
        <w:br w:type="column"/>
      </w:r>
      <w:r>
        <w:rPr/>
        <w:t>Serrures et ferrures de bâtiment – Ferrures pour portes coulissantes et pliantes selon EN 1527 / 2020</w:t>
      </w:r>
    </w:p>
    <w:p>
      <w:pPr>
        <w:spacing w:before="8"/>
        <w:ind w:left="112" w:right="0" w:firstLine="0"/>
        <w:jc w:val="left"/>
        <w:rPr>
          <w:sz w:val="19"/>
        </w:rPr>
      </w:pPr>
      <w:r>
        <w:rPr>
          <w:w w:val="105"/>
          <w:sz w:val="19"/>
        </w:rPr>
        <w:t>–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Durée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fonctionnalité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: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catégorie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6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(catégorie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plus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élevée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=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100’000</w:t>
      </w:r>
      <w:r>
        <w:rPr>
          <w:spacing w:val="-5"/>
          <w:w w:val="105"/>
          <w:sz w:val="19"/>
        </w:rPr>
        <w:t> </w:t>
      </w:r>
      <w:r>
        <w:rPr>
          <w:spacing w:val="-2"/>
          <w:w w:val="105"/>
          <w:sz w:val="19"/>
        </w:rPr>
        <w:t>cycles)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42" w:lineRule="auto"/>
        <w:ind w:left="112" w:right="76"/>
      </w:pPr>
      <w:r>
        <w:rPr/>
        <w:t>Hawa</w:t>
      </w:r>
      <w:r>
        <w:rPr>
          <w:spacing w:val="-5"/>
        </w:rPr>
        <w:t> </w:t>
      </w:r>
      <w:r>
        <w:rPr/>
        <w:t>garantit</w:t>
      </w:r>
      <w:r>
        <w:rPr>
          <w:spacing w:val="-5"/>
        </w:rPr>
        <w:t> </w:t>
      </w:r>
      <w:r>
        <w:rPr/>
        <w:t>le</w:t>
      </w:r>
      <w:r>
        <w:rPr>
          <w:spacing w:val="-5"/>
        </w:rPr>
        <w:t> </w:t>
      </w:r>
      <w:r>
        <w:rPr/>
        <w:t>bon</w:t>
      </w:r>
      <w:r>
        <w:rPr>
          <w:spacing w:val="-5"/>
        </w:rPr>
        <w:t> </w:t>
      </w:r>
      <w:r>
        <w:rPr/>
        <w:t>fonctionnement</w:t>
      </w:r>
      <w:r>
        <w:rPr>
          <w:spacing w:val="-5"/>
        </w:rPr>
        <w:t> </w:t>
      </w:r>
      <w:r>
        <w:rPr/>
        <w:t>des</w:t>
      </w:r>
      <w:r>
        <w:rPr>
          <w:spacing w:val="-5"/>
        </w:rPr>
        <w:t> </w:t>
      </w:r>
      <w:r>
        <w:rPr/>
        <w:t>produits</w:t>
      </w:r>
      <w:r>
        <w:rPr>
          <w:spacing w:val="-5"/>
        </w:rPr>
        <w:t> </w:t>
      </w:r>
      <w:r>
        <w:rPr/>
        <w:t>livrés</w:t>
      </w:r>
      <w:r>
        <w:rPr>
          <w:spacing w:val="-5"/>
        </w:rPr>
        <w:t> </w:t>
      </w:r>
      <w:r>
        <w:rPr/>
        <w:t>par</w:t>
      </w:r>
      <w:r>
        <w:rPr>
          <w:spacing w:val="-5"/>
        </w:rPr>
        <w:t> </w:t>
      </w:r>
      <w:r>
        <w:rPr/>
        <w:t>ses</w:t>
      </w:r>
      <w:r>
        <w:rPr>
          <w:spacing w:val="-5"/>
        </w:rPr>
        <w:t> </w:t>
      </w:r>
      <w:r>
        <w:rPr/>
        <w:t>soins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durabilité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tous les composants, à l’exception des pièces d’usure, pour une période de 2 ans à compter du transfert du risque.</w:t>
      </w:r>
    </w:p>
    <w:p>
      <w:pPr>
        <w:spacing w:after="0" w:line="242" w:lineRule="auto"/>
        <w:sectPr>
          <w:type w:val="continuous"/>
          <w:pgSz w:w="11910" w:h="16840"/>
          <w:pgMar w:header="401" w:footer="1105" w:top="1960" w:bottom="1300" w:left="460" w:right="480"/>
          <w:cols w:num="2" w:equalWidth="0">
            <w:col w:w="1467" w:space="882"/>
            <w:col w:w="8621"/>
          </w:cols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BodyText"/>
        <w:tabs>
          <w:tab w:pos="2461" w:val="left" w:leader="none"/>
        </w:tabs>
        <w:spacing w:before="48"/>
        <w:ind w:left="2461" w:right="100" w:hanging="2349"/>
      </w:pPr>
      <w:r>
        <w:rPr>
          <w:b/>
          <w:position w:val="1"/>
        </w:rPr>
        <w:t>Version du produit</w:t>
        <w:tab/>
      </w:r>
      <w:r>
        <w:rPr/>
        <w:t>Hawa</w:t>
      </w:r>
      <w:r>
        <w:rPr>
          <w:spacing w:val="-4"/>
        </w:rPr>
        <w:t> </w:t>
      </w:r>
      <w:r>
        <w:rPr/>
        <w:t>Porta</w:t>
      </w:r>
      <w:r>
        <w:rPr>
          <w:spacing w:val="-4"/>
        </w:rPr>
        <w:t> </w:t>
      </w:r>
      <w:r>
        <w:rPr/>
        <w:t>100</w:t>
      </w:r>
      <w:r>
        <w:rPr>
          <w:spacing w:val="-5"/>
        </w:rPr>
        <w:t> </w:t>
      </w:r>
      <w:r>
        <w:rPr/>
        <w:t>HMD</w:t>
      </w:r>
      <w:r>
        <w:rPr>
          <w:spacing w:val="-6"/>
        </w:rPr>
        <w:t> </w:t>
      </w:r>
      <w:r>
        <w:rPr/>
        <w:t>Acoustics</w:t>
      </w:r>
      <w:r>
        <w:rPr>
          <w:spacing w:val="-4"/>
        </w:rPr>
        <w:t> </w:t>
      </w:r>
      <w:r>
        <w:rPr/>
        <w:t>composé</w:t>
      </w:r>
      <w:r>
        <w:rPr>
          <w:spacing w:val="-4"/>
        </w:rPr>
        <w:t> </w:t>
      </w:r>
      <w:r>
        <w:rPr/>
        <w:t>d'un</w:t>
      </w:r>
      <w:r>
        <w:rPr>
          <w:spacing w:val="-5"/>
        </w:rPr>
        <w:t> </w:t>
      </w:r>
      <w:r>
        <w:rPr/>
        <w:t>rail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roulement,</w:t>
      </w:r>
      <w:r>
        <w:rPr>
          <w:spacing w:val="-5"/>
        </w:rPr>
        <w:t> </w:t>
      </w:r>
      <w:r>
        <w:rPr/>
        <w:t>roulement</w:t>
      </w:r>
      <w:r>
        <w:rPr>
          <w:spacing w:val="-5"/>
        </w:rPr>
        <w:t> </w:t>
      </w:r>
      <w:r>
        <w:rPr/>
        <w:t>à</w:t>
      </w:r>
      <w:r>
        <w:rPr>
          <w:spacing w:val="-4"/>
        </w:rPr>
        <w:t> </w:t>
      </w:r>
      <w:r>
        <w:rPr/>
        <w:t>billes,</w:t>
      </w:r>
      <w:r>
        <w:rPr>
          <w:spacing w:val="-5"/>
        </w:rPr>
        <w:t> </w:t>
      </w:r>
      <w:r>
        <w:rPr/>
        <w:t>SoftStop, butée avec ressort de blocage, porte-chariot, jeu de joints horizontaux, joints verticaux.</w:t>
      </w:r>
    </w:p>
    <w:p>
      <w:pPr>
        <w:pStyle w:val="BodyText"/>
        <w:spacing w:before="4"/>
      </w:pPr>
    </w:p>
    <w:p>
      <w:pPr>
        <w:pStyle w:val="BodyText"/>
        <w:ind w:left="2461"/>
      </w:pPr>
      <w:r>
        <w:rPr/>
        <w:t>En</w:t>
      </w:r>
      <w:r>
        <w:rPr>
          <w:spacing w:val="-9"/>
        </w:rPr>
        <w:t> </w:t>
      </w:r>
      <w:r>
        <w:rPr/>
        <w:t>option</w:t>
      </w:r>
      <w:r>
        <w:rPr>
          <w:spacing w:val="-7"/>
        </w:rPr>
        <w:t> </w:t>
      </w:r>
      <w:r>
        <w:rPr>
          <w:spacing w:val="-10"/>
        </w:rPr>
        <w:t>:</w:t>
      </w:r>
    </w:p>
    <w:p>
      <w:pPr>
        <w:pStyle w:val="BodyText"/>
        <w:spacing w:before="1"/>
        <w:ind w:left="2461"/>
      </w:pPr>
      <w:r>
        <w:rPr/>
        <w:t>(….)</w:t>
      </w:r>
      <w:r>
        <w:rPr>
          <w:spacing w:val="-7"/>
        </w:rPr>
        <w:t> </w:t>
      </w:r>
      <w:r>
        <w:rPr/>
        <w:t>Chariot</w:t>
      </w:r>
      <w:r>
        <w:rPr>
          <w:spacing w:val="-6"/>
        </w:rPr>
        <w:t> </w:t>
      </w:r>
      <w:r>
        <w:rPr/>
        <w:t>avec</w:t>
      </w:r>
      <w:r>
        <w:rPr>
          <w:spacing w:val="-6"/>
        </w:rPr>
        <w:t> </w:t>
      </w:r>
      <w:r>
        <w:rPr/>
        <w:t>galets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matière</w:t>
      </w:r>
      <w:r>
        <w:rPr>
          <w:spacing w:val="-6"/>
        </w:rPr>
        <w:t> </w:t>
      </w:r>
      <w:r>
        <w:rPr/>
        <w:t>plastique</w:t>
      </w:r>
      <w:r>
        <w:rPr>
          <w:spacing w:val="-6"/>
        </w:rPr>
        <w:t> </w:t>
      </w:r>
      <w:r>
        <w:rPr/>
        <w:t>et</w:t>
      </w:r>
      <w:r>
        <w:rPr>
          <w:spacing w:val="-6"/>
        </w:rPr>
        <w:t> </w:t>
      </w:r>
      <w:r>
        <w:rPr/>
        <w:t>étrier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suspension</w:t>
      </w:r>
      <w:r>
        <w:rPr>
          <w:spacing w:val="-6"/>
        </w:rPr>
        <w:t> </w:t>
      </w:r>
      <w:r>
        <w:rPr/>
        <w:t>+9</w:t>
      </w:r>
      <w:r>
        <w:rPr>
          <w:spacing w:val="-6"/>
        </w:rPr>
        <w:t> </w:t>
      </w:r>
      <w:r>
        <w:rPr/>
        <w:t>mm/+20</w:t>
      </w:r>
      <w:r>
        <w:rPr>
          <w:spacing w:val="-6"/>
        </w:rPr>
        <w:t> </w:t>
      </w:r>
      <w:r>
        <w:rPr>
          <w:spacing w:val="-5"/>
        </w:rPr>
        <w:t>mm</w:t>
      </w:r>
    </w:p>
    <w:p>
      <w:pPr>
        <w:pStyle w:val="BodyText"/>
        <w:spacing w:before="2"/>
        <w:ind w:left="2461" w:right="3939"/>
      </w:pPr>
      <w:r>
        <w:rPr/>
        <w:t>(….)</w:t>
      </w:r>
      <w:r>
        <w:rPr>
          <w:spacing w:val="-10"/>
        </w:rPr>
        <w:t> </w:t>
      </w:r>
      <w:r>
        <w:rPr/>
        <w:t>Cache</w:t>
      </w:r>
      <w:r>
        <w:rPr>
          <w:spacing w:val="-8"/>
        </w:rPr>
        <w:t> </w:t>
      </w:r>
      <w:r>
        <w:rPr/>
        <w:t>à</w:t>
      </w:r>
      <w:r>
        <w:rPr>
          <w:spacing w:val="-8"/>
        </w:rPr>
        <w:t> </w:t>
      </w:r>
      <w:r>
        <w:rPr/>
        <w:t>clipser,</w:t>
      </w:r>
      <w:r>
        <w:rPr>
          <w:spacing w:val="-9"/>
        </w:rPr>
        <w:t> </w:t>
      </w:r>
      <w:r>
        <w:rPr/>
        <w:t>montage</w:t>
      </w:r>
      <w:r>
        <w:rPr>
          <w:spacing w:val="-8"/>
        </w:rPr>
        <w:t> </w:t>
      </w:r>
      <w:r>
        <w:rPr/>
        <w:t>mural,</w:t>
      </w:r>
      <w:r>
        <w:rPr>
          <w:spacing w:val="-9"/>
        </w:rPr>
        <w:t> </w:t>
      </w:r>
      <w:r>
        <w:rPr/>
        <w:t>aluminium (….) Cache, plastique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8"/>
        </w:rPr>
      </w:pPr>
    </w:p>
    <w:p>
      <w:pPr>
        <w:pStyle w:val="Heading1"/>
        <w:tabs>
          <w:tab w:pos="2461" w:val="left" w:leader="none"/>
        </w:tabs>
      </w:pPr>
      <w:r>
        <w:rPr>
          <w:spacing w:val="-2"/>
          <w:position w:val="1"/>
        </w:rPr>
        <w:t>Interfaces</w:t>
      </w:r>
      <w:r>
        <w:rPr>
          <w:position w:val="1"/>
        </w:rPr>
        <w:tab/>
      </w:r>
      <w:r>
        <w:rPr/>
        <w:t>Panneau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2"/>
        </w:rPr>
        <w:t>porte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Rainure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profil</w:t>
      </w:r>
      <w:r>
        <w:rPr>
          <w:spacing w:val="-6"/>
          <w:sz w:val="20"/>
        </w:rPr>
        <w:t> </w:t>
      </w:r>
      <w:r>
        <w:rPr>
          <w:sz w:val="20"/>
        </w:rPr>
        <w:t>porteur</w:t>
      </w:r>
      <w:r>
        <w:rPr>
          <w:spacing w:val="-4"/>
          <w:sz w:val="20"/>
        </w:rPr>
        <w:t> </w:t>
      </w:r>
      <w:r>
        <w:rPr>
          <w:sz w:val="20"/>
        </w:rPr>
        <w:t>et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joint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haut</w:t>
      </w:r>
      <w:r>
        <w:rPr>
          <w:spacing w:val="-5"/>
          <w:sz w:val="20"/>
        </w:rPr>
        <w:t> </w:t>
      </w:r>
      <w:r>
        <w:rPr>
          <w:sz w:val="20"/>
        </w:rPr>
        <w:t>(H</w:t>
      </w:r>
      <w:r>
        <w:rPr>
          <w:spacing w:val="-5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L)</w:t>
      </w:r>
      <w:r>
        <w:rPr>
          <w:spacing w:val="-6"/>
          <w:sz w:val="20"/>
        </w:rPr>
        <w:t> </w:t>
      </w:r>
      <w:r>
        <w:rPr>
          <w:sz w:val="20"/>
        </w:rPr>
        <w:t>30</w:t>
      </w:r>
      <w:r>
        <w:rPr>
          <w:spacing w:val="-6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27</w:t>
      </w:r>
      <w:r>
        <w:rPr>
          <w:spacing w:val="-5"/>
          <w:sz w:val="20"/>
        </w:rPr>
        <w:t> mm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7"/>
        <w:jc w:val="left"/>
        <w:rPr>
          <w:sz w:val="20"/>
        </w:rPr>
      </w:pPr>
      <w:r>
        <w:rPr>
          <w:sz w:val="20"/>
        </w:rPr>
        <w:t>Rainure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guidage</w:t>
      </w:r>
      <w:r>
        <w:rPr>
          <w:spacing w:val="-4"/>
          <w:sz w:val="20"/>
        </w:rPr>
        <w:t> </w:t>
      </w:r>
      <w:r>
        <w:rPr>
          <w:sz w:val="20"/>
        </w:rPr>
        <w:t>et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joint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bas</w:t>
      </w:r>
      <w:r>
        <w:rPr>
          <w:spacing w:val="-4"/>
          <w:sz w:val="20"/>
        </w:rPr>
        <w:t> </w:t>
      </w:r>
      <w:r>
        <w:rPr>
          <w:sz w:val="20"/>
        </w:rPr>
        <w:t>(H</w:t>
      </w:r>
      <w:r>
        <w:rPr>
          <w:spacing w:val="-5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L)</w:t>
      </w:r>
      <w:r>
        <w:rPr>
          <w:spacing w:val="-5"/>
          <w:sz w:val="20"/>
        </w:rPr>
        <w:t> </w:t>
      </w:r>
      <w:r>
        <w:rPr>
          <w:sz w:val="20"/>
        </w:rPr>
        <w:t>30</w:t>
      </w:r>
      <w:r>
        <w:rPr>
          <w:spacing w:val="-5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23</w:t>
      </w:r>
      <w:r>
        <w:rPr>
          <w:spacing w:val="-5"/>
          <w:sz w:val="20"/>
        </w:rPr>
        <w:t> mm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7"/>
        <w:jc w:val="left"/>
        <w:rPr>
          <w:sz w:val="20"/>
        </w:rPr>
      </w:pPr>
      <w:r>
        <w:rPr>
          <w:sz w:val="20"/>
        </w:rPr>
        <w:t>Fixation</w:t>
      </w:r>
      <w:r>
        <w:rPr>
          <w:spacing w:val="-8"/>
          <w:sz w:val="20"/>
        </w:rPr>
        <w:t> </w:t>
      </w:r>
      <w:r>
        <w:rPr>
          <w:sz w:val="20"/>
        </w:rPr>
        <w:t>vissée</w:t>
      </w:r>
      <w:r>
        <w:rPr>
          <w:spacing w:val="-6"/>
          <w:sz w:val="20"/>
        </w:rPr>
        <w:t> </w:t>
      </w:r>
      <w:r>
        <w:rPr>
          <w:sz w:val="20"/>
        </w:rPr>
        <w:t>des</w:t>
      </w:r>
      <w:r>
        <w:rPr>
          <w:spacing w:val="-7"/>
          <w:sz w:val="20"/>
        </w:rPr>
        <w:t> </w:t>
      </w:r>
      <w:r>
        <w:rPr>
          <w:sz w:val="20"/>
        </w:rPr>
        <w:t>profils</w:t>
      </w:r>
      <w:r>
        <w:rPr>
          <w:spacing w:val="-6"/>
          <w:sz w:val="20"/>
        </w:rPr>
        <w:t> </w:t>
      </w:r>
      <w:r>
        <w:rPr>
          <w:sz w:val="20"/>
        </w:rPr>
        <w:t>porteurs</w:t>
      </w:r>
      <w:r>
        <w:rPr>
          <w:spacing w:val="-7"/>
          <w:sz w:val="20"/>
        </w:rPr>
        <w:t> </w:t>
      </w:r>
      <w:r>
        <w:rPr>
          <w:sz w:val="20"/>
        </w:rPr>
        <w:t>et</w:t>
      </w:r>
      <w:r>
        <w:rPr>
          <w:spacing w:val="-7"/>
          <w:sz w:val="20"/>
        </w:rPr>
        <w:t> </w:t>
      </w:r>
      <w:r>
        <w:rPr>
          <w:sz w:val="20"/>
        </w:rPr>
        <w:t>des</w:t>
      </w:r>
      <w:r>
        <w:rPr>
          <w:spacing w:val="-7"/>
          <w:sz w:val="20"/>
        </w:rPr>
        <w:t> </w:t>
      </w:r>
      <w:r>
        <w:rPr>
          <w:sz w:val="20"/>
        </w:rPr>
        <w:t>joints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horizontaux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7"/>
        <w:jc w:val="left"/>
        <w:rPr>
          <w:sz w:val="20"/>
        </w:rPr>
      </w:pPr>
      <w:r>
        <w:rPr>
          <w:sz w:val="20"/>
        </w:rPr>
        <w:t>Rainure</w:t>
      </w:r>
      <w:r>
        <w:rPr>
          <w:spacing w:val="-5"/>
          <w:sz w:val="20"/>
        </w:rPr>
        <w:t> </w:t>
      </w:r>
      <w:r>
        <w:rPr>
          <w:sz w:val="20"/>
        </w:rPr>
        <w:t>pour</w:t>
      </w:r>
      <w:r>
        <w:rPr>
          <w:spacing w:val="-5"/>
          <w:sz w:val="20"/>
        </w:rPr>
        <w:t> </w:t>
      </w:r>
      <w:r>
        <w:rPr>
          <w:sz w:val="20"/>
        </w:rPr>
        <w:t>joint</w:t>
      </w:r>
      <w:r>
        <w:rPr>
          <w:spacing w:val="-6"/>
          <w:sz w:val="20"/>
        </w:rPr>
        <w:t> </w:t>
      </w:r>
      <w:r>
        <w:rPr>
          <w:sz w:val="20"/>
        </w:rPr>
        <w:t>vertical</w:t>
      </w:r>
      <w:r>
        <w:rPr>
          <w:spacing w:val="-7"/>
          <w:sz w:val="20"/>
        </w:rPr>
        <w:t> </w:t>
      </w:r>
      <w:r>
        <w:rPr>
          <w:sz w:val="20"/>
        </w:rPr>
        <w:t>4</w:t>
      </w:r>
      <w:r>
        <w:rPr>
          <w:spacing w:val="-5"/>
          <w:sz w:val="20"/>
        </w:rPr>
        <w:t> </w:t>
      </w:r>
      <w:r>
        <w:rPr>
          <w:sz w:val="20"/>
        </w:rPr>
        <w:t>x</w:t>
      </w:r>
      <w:r>
        <w:rPr>
          <w:spacing w:val="-6"/>
          <w:sz w:val="20"/>
        </w:rPr>
        <w:t> </w:t>
      </w:r>
      <w:r>
        <w:rPr>
          <w:sz w:val="20"/>
        </w:rPr>
        <w:t>4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mm</w:t>
      </w:r>
    </w:p>
    <w:p>
      <w:pPr>
        <w:pStyle w:val="BodyText"/>
        <w:spacing w:before="1"/>
      </w:pPr>
    </w:p>
    <w:p>
      <w:pPr>
        <w:pStyle w:val="Heading1"/>
        <w:ind w:left="2461"/>
      </w:pPr>
      <w:r>
        <w:rPr/>
        <w:t>Plan</w:t>
      </w:r>
      <w:r>
        <w:rPr>
          <w:spacing w:val="-8"/>
        </w:rPr>
        <w:t> </w:t>
      </w:r>
      <w:r>
        <w:rPr/>
        <w:t>des</w:t>
      </w:r>
      <w:r>
        <w:rPr>
          <w:spacing w:val="-6"/>
        </w:rPr>
        <w:t> </w:t>
      </w:r>
      <w:r>
        <w:rPr/>
        <w:t>joints</w:t>
      </w:r>
      <w:r>
        <w:rPr>
          <w:spacing w:val="-6"/>
        </w:rPr>
        <w:t> </w:t>
      </w:r>
      <w:r>
        <w:rPr>
          <w:spacing w:val="-2"/>
        </w:rPr>
        <w:t>verticaux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461" w:right="2264" w:firstLine="0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surface</w:t>
      </w:r>
      <w:r>
        <w:rPr>
          <w:spacing w:val="-4"/>
          <w:sz w:val="20"/>
        </w:rPr>
        <w:t> </w:t>
      </w:r>
      <w:r>
        <w:rPr>
          <w:sz w:val="20"/>
        </w:rPr>
        <w:t>d'appui</w:t>
      </w:r>
      <w:r>
        <w:rPr>
          <w:spacing w:val="-6"/>
          <w:sz w:val="20"/>
        </w:rPr>
        <w:t> </w:t>
      </w:r>
      <w:r>
        <w:rPr>
          <w:sz w:val="20"/>
        </w:rPr>
        <w:t>pour</w:t>
      </w:r>
      <w:r>
        <w:rPr>
          <w:spacing w:val="-4"/>
          <w:sz w:val="20"/>
        </w:rPr>
        <w:t> </w:t>
      </w:r>
      <w:r>
        <w:rPr>
          <w:sz w:val="20"/>
        </w:rPr>
        <w:t>le</w:t>
      </w:r>
      <w:r>
        <w:rPr>
          <w:spacing w:val="-4"/>
          <w:sz w:val="20"/>
        </w:rPr>
        <w:t> </w:t>
      </w:r>
      <w:r>
        <w:rPr>
          <w:sz w:val="20"/>
        </w:rPr>
        <w:t>joint</w:t>
      </w:r>
      <w:r>
        <w:rPr>
          <w:spacing w:val="-5"/>
          <w:sz w:val="20"/>
        </w:rPr>
        <w:t> </w:t>
      </w:r>
      <w:r>
        <w:rPr>
          <w:sz w:val="20"/>
        </w:rPr>
        <w:t>vertical</w:t>
      </w:r>
      <w:r>
        <w:rPr>
          <w:spacing w:val="-6"/>
          <w:sz w:val="20"/>
        </w:rPr>
        <w:t> </w:t>
      </w:r>
      <w:r>
        <w:rPr>
          <w:sz w:val="20"/>
        </w:rPr>
        <w:t>doit</w:t>
      </w:r>
      <w:r>
        <w:rPr>
          <w:spacing w:val="-5"/>
          <w:sz w:val="20"/>
        </w:rPr>
        <w:t> </w:t>
      </w:r>
      <w:r>
        <w:rPr>
          <w:sz w:val="20"/>
        </w:rPr>
        <w:t>être</w:t>
      </w:r>
      <w:r>
        <w:rPr>
          <w:spacing w:val="-4"/>
          <w:sz w:val="20"/>
        </w:rPr>
        <w:t> </w:t>
      </w:r>
      <w:r>
        <w:rPr>
          <w:sz w:val="20"/>
        </w:rPr>
        <w:t>réalisée</w:t>
      </w:r>
      <w:r>
        <w:rPr>
          <w:spacing w:val="-4"/>
          <w:sz w:val="20"/>
        </w:rPr>
        <w:t> </w:t>
      </w:r>
      <w:r>
        <w:rPr>
          <w:sz w:val="20"/>
        </w:rPr>
        <w:t>par</w:t>
      </w:r>
      <w:r>
        <w:rPr>
          <w:spacing w:val="-4"/>
          <w:sz w:val="20"/>
        </w:rPr>
        <w:t> </w:t>
      </w:r>
      <w:r>
        <w:rPr>
          <w:sz w:val="20"/>
        </w:rPr>
        <w:t>le</w:t>
      </w:r>
      <w:r>
        <w:rPr>
          <w:spacing w:val="-4"/>
          <w:sz w:val="20"/>
        </w:rPr>
        <w:t> </w:t>
      </w:r>
      <w:r>
        <w:rPr>
          <w:sz w:val="20"/>
        </w:rPr>
        <w:t>client (saillie de 6 mm min. par rapport à la structure murale)</w:t>
      </w:r>
    </w:p>
    <w:p>
      <w:pPr>
        <w:pStyle w:val="BodyText"/>
        <w:spacing w:before="3"/>
      </w:pPr>
    </w:p>
    <w:p>
      <w:pPr>
        <w:pStyle w:val="Heading1"/>
        <w:ind w:left="2461"/>
      </w:pPr>
      <w:r>
        <w:rPr/>
        <w:t>Dimension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fente</w:t>
      </w:r>
      <w:r>
        <w:rPr>
          <w:spacing w:val="-6"/>
        </w:rPr>
        <w:t> </w:t>
      </w:r>
      <w:r>
        <w:rPr/>
        <w:t>par</w:t>
      </w:r>
      <w:r>
        <w:rPr>
          <w:spacing w:val="-7"/>
        </w:rPr>
        <w:t> </w:t>
      </w:r>
      <w:r>
        <w:rPr/>
        <w:t>rapport</w:t>
      </w:r>
      <w:r>
        <w:rPr>
          <w:spacing w:val="-7"/>
        </w:rPr>
        <w:t> </w:t>
      </w:r>
      <w:r>
        <w:rPr/>
        <w:t>au</w:t>
      </w:r>
      <w:r>
        <w:rPr>
          <w:spacing w:val="-6"/>
        </w:rPr>
        <w:t> </w:t>
      </w:r>
      <w:r>
        <w:rPr>
          <w:spacing w:val="-5"/>
        </w:rPr>
        <w:t>sol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Le</w:t>
      </w:r>
      <w:r>
        <w:rPr>
          <w:spacing w:val="-4"/>
          <w:sz w:val="20"/>
        </w:rPr>
        <w:t> </w:t>
      </w:r>
      <w:r>
        <w:rPr>
          <w:sz w:val="20"/>
        </w:rPr>
        <w:t>jeu</w:t>
      </w:r>
      <w:r>
        <w:rPr>
          <w:spacing w:val="-4"/>
          <w:sz w:val="20"/>
        </w:rPr>
        <w:t> </w:t>
      </w:r>
      <w:r>
        <w:rPr>
          <w:sz w:val="20"/>
        </w:rPr>
        <w:t>du</w:t>
      </w:r>
      <w:r>
        <w:rPr>
          <w:spacing w:val="-5"/>
          <w:sz w:val="20"/>
        </w:rPr>
        <w:t> </w:t>
      </w:r>
      <w:r>
        <w:rPr>
          <w:sz w:val="20"/>
        </w:rPr>
        <w:t>sol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8</w:t>
      </w:r>
      <w:r>
        <w:rPr>
          <w:spacing w:val="-5"/>
          <w:sz w:val="20"/>
        </w:rPr>
        <w:t> </w:t>
      </w:r>
      <w:r>
        <w:rPr>
          <w:sz w:val="20"/>
        </w:rPr>
        <w:t>à</w:t>
      </w:r>
      <w:r>
        <w:rPr>
          <w:spacing w:val="-3"/>
          <w:sz w:val="20"/>
        </w:rPr>
        <w:t> </w:t>
      </w:r>
      <w:r>
        <w:rPr>
          <w:sz w:val="20"/>
        </w:rPr>
        <w:t>12</w:t>
      </w:r>
      <w:r>
        <w:rPr>
          <w:spacing w:val="-4"/>
          <w:sz w:val="20"/>
        </w:rPr>
        <w:t> </w:t>
      </w:r>
      <w:r>
        <w:rPr>
          <w:sz w:val="20"/>
        </w:rPr>
        <w:t>mm</w:t>
      </w:r>
      <w:r>
        <w:rPr>
          <w:spacing w:val="-4"/>
          <w:sz w:val="20"/>
        </w:rPr>
        <w:t> </w:t>
      </w:r>
      <w:r>
        <w:rPr>
          <w:sz w:val="20"/>
        </w:rPr>
        <w:t>peut</w:t>
      </w:r>
      <w:r>
        <w:rPr>
          <w:spacing w:val="-4"/>
          <w:sz w:val="20"/>
        </w:rPr>
        <w:t> </w:t>
      </w:r>
      <w:r>
        <w:rPr>
          <w:sz w:val="20"/>
        </w:rPr>
        <w:t>être</w:t>
      </w:r>
      <w:r>
        <w:rPr>
          <w:spacing w:val="-3"/>
          <w:sz w:val="20"/>
        </w:rPr>
        <w:t> </w:t>
      </w:r>
      <w:r>
        <w:rPr>
          <w:sz w:val="20"/>
        </w:rPr>
        <w:t>compensé</w:t>
      </w:r>
      <w:r>
        <w:rPr>
          <w:spacing w:val="-4"/>
          <w:sz w:val="20"/>
        </w:rPr>
        <w:t> </w:t>
      </w:r>
      <w:r>
        <w:rPr>
          <w:sz w:val="20"/>
        </w:rPr>
        <w:t>par</w:t>
      </w:r>
      <w:r>
        <w:rPr>
          <w:spacing w:val="-3"/>
          <w:sz w:val="20"/>
        </w:rPr>
        <w:t> </w:t>
      </w:r>
      <w:r>
        <w:rPr>
          <w:sz w:val="20"/>
        </w:rPr>
        <w:t>le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joint</w:t>
      </w:r>
    </w:p>
    <w:sectPr>
      <w:pgSz w:w="11910" w:h="16840"/>
      <w:pgMar w:header="401" w:footer="1105" w:top="1960" w:bottom="1300" w:left="4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57.4pt;height:35.25pt;mso-position-horizontal-relative:page;mso-position-vertical-relative:page;z-index:-15871488" type="#_x0000_t202" id="docshape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</w:t>
                </w:r>
                <w:r>
                  <w:rPr>
                    <w:b/>
                    <w:spacing w:val="-10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Sliding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Solutions</w:t>
                </w:r>
                <w:r>
                  <w:rPr>
                    <w:b/>
                    <w:spacing w:val="-8"/>
                    <w:sz w:val="20"/>
                  </w:rPr>
                  <w:t> </w:t>
                </w:r>
                <w:r>
                  <w:rPr>
                    <w:b/>
                    <w:spacing w:val="-5"/>
                    <w:sz w:val="20"/>
                  </w:rPr>
                  <w:t>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</w:t>
                </w:r>
                <w:r>
                  <w:rPr>
                    <w:spacing w:val="-7"/>
                  </w:rPr>
                  <w:t> </w:t>
                </w:r>
                <w:r>
                  <w:rPr/>
                  <w:t>Fischbachstrasse</w:t>
                </w:r>
                <w:r>
                  <w:rPr>
                    <w:spacing w:val="-6"/>
                  </w:rPr>
                  <w:t> </w:t>
                </w:r>
                <w:r>
                  <w:rPr/>
                  <w:t>4,</w:t>
                </w:r>
                <w:r>
                  <w:rPr>
                    <w:spacing w:val="-11"/>
                  </w:rPr>
                  <w:t> </w:t>
                </w:r>
                <w:r>
                  <w:rPr/>
                  <w:t>8932</w:t>
                </w:r>
                <w:r>
                  <w:rPr>
                    <w:spacing w:val="-5"/>
                  </w:rPr>
                  <w:t> </w:t>
                </w:r>
                <w:r>
                  <w:rPr/>
                  <w:t>Mettmenstetten,</w:t>
                </w:r>
                <w:r>
                  <w:rPr>
                    <w:spacing w:val="-6"/>
                  </w:rPr>
                  <w:t> </w:t>
                </w:r>
                <w:r>
                  <w:rPr>
                    <w:spacing w:val="-2"/>
                  </w:rPr>
                  <w:t>Suisse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Tél.</w:t>
                </w:r>
                <w:r>
                  <w:rPr>
                    <w:spacing w:val="-6"/>
                  </w:rPr>
                  <w:t> </w:t>
                </w:r>
                <w:r>
                  <w:rPr/>
                  <w:t>+41</w:t>
                </w:r>
                <w:r>
                  <w:rPr>
                    <w:spacing w:val="-4"/>
                  </w:rPr>
                  <w:t> </w:t>
                </w:r>
                <w:r>
                  <w:rPr/>
                  <w:t>44</w:t>
                </w:r>
                <w:r>
                  <w:rPr>
                    <w:spacing w:val="-4"/>
                  </w:rPr>
                  <w:t> </w:t>
                </w:r>
                <w:r>
                  <w:rPr/>
                  <w:t>787</w:t>
                </w:r>
                <w:r>
                  <w:rPr>
                    <w:spacing w:val="-4"/>
                  </w:rPr>
                  <w:t> </w:t>
                </w:r>
                <w:r>
                  <w:rPr/>
                  <w:t>17</w:t>
                </w:r>
                <w:r>
                  <w:rPr>
                    <w:spacing w:val="-5"/>
                  </w:rPr>
                  <w:t> </w:t>
                </w:r>
                <w:r>
                  <w:rPr/>
                  <w:t>17,</w:t>
                </w:r>
                <w:r>
                  <w:rPr>
                    <w:spacing w:val="-5"/>
                  </w:rPr>
                  <w:t> </w:t>
                </w:r>
                <w:hyperlink r:id="rId1">
                  <w:r>
                    <w:rPr/>
                    <w:t>info@hawa.com,</w:t>
                  </w:r>
                </w:hyperlink>
                <w:r>
                  <w:rPr>
                    <w:spacing w:val="-6"/>
                  </w:rPr>
                  <w:t> </w:t>
                </w:r>
                <w:hyperlink r:id="rId2">
                  <w:r>
                    <w:rPr>
                      <w:spacing w:val="-2"/>
                    </w:rPr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5.79187pt;margin-top:797.215942pt;width:12.55pt;height:11.95pt;mso-position-horizontal-relative:page;mso-position-vertical-relative:page;z-index:-15870976" type="#_x0000_t202" id="docshape3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43456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43968">
          <wp:simplePos x="0" y="0"/>
          <wp:positionH relativeFrom="page">
            <wp:posOffset>4749107</wp:posOffset>
          </wp:positionH>
          <wp:positionV relativeFrom="page">
            <wp:posOffset>827043</wp:posOffset>
          </wp:positionV>
          <wp:extent cx="961343" cy="21601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61343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7.430511pt;margin-top:68.660194pt;width:107.75pt;height:13.95pt;mso-position-horizontal-relative:page;mso-position-vertical-relative:page;z-index:-15872000" type="#_x0000_t202" id="docshape1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100</w:t>
                </w:r>
                <w:r>
                  <w:rPr>
                    <w:color w:val="003C78"/>
                    <w:spacing w:val="-9"/>
                    <w:sz w:val="24"/>
                  </w:rPr>
                  <w:t> </w:t>
                </w:r>
                <w:r>
                  <w:rPr>
                    <w:color w:val="003C78"/>
                    <w:sz w:val="24"/>
                  </w:rPr>
                  <w:t>HMD</w:t>
                </w:r>
                <w:r>
                  <w:rPr>
                    <w:color w:val="003C78"/>
                    <w:spacing w:val="-5"/>
                    <w:sz w:val="24"/>
                  </w:rPr>
                  <w:t> </w:t>
                </w:r>
                <w:r>
                  <w:rPr>
                    <w:color w:val="003C78"/>
                    <w:spacing w:val="-2"/>
                    <w:sz w:val="24"/>
                  </w:rPr>
                  <w:t>Acoustics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461" w:hanging="157"/>
      </w:pPr>
      <w:rPr>
        <w:rFonts w:hint="default" w:ascii="HelveticaNeueLT Std" w:hAnsi="HelveticaNeueLT Std" w:eastAsia="HelveticaNeueLT Std" w:cs="HelveticaNeueLT Std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310" w:hanging="157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161" w:hanging="15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012" w:hanging="15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863" w:hanging="15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714" w:hanging="15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565" w:hanging="15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416" w:hanging="15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267" w:hanging="157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241" w:lineRule="exact"/>
      <w:ind w:left="20"/>
    </w:pPr>
    <w:rPr>
      <w:rFonts w:ascii="HelveticaNeueLT Std" w:hAnsi="HelveticaNeueLT Std" w:eastAsia="HelveticaNeueLT Std" w:cs="HelveticaNeueLT Std"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2617" w:hanging="157"/>
    </w:pPr>
    <w:rPr>
      <w:rFonts w:ascii="HelveticaNeueLT Std" w:hAnsi="HelveticaNeueLT Std" w:eastAsia="HelveticaNeueLT Std" w:cs="HelveticaNeueLT Std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1.xml"/><Relationship Id="rId5" Type="http://schemas.openxmlformats.org/officeDocument/2006/relationships/header" Target="header1.xml"/><Relationship Id="rId10" Type="http://schemas.openxmlformats.org/officeDocument/2006/relationships/numbering" Target="numbering.xm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4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RB-Dokument" ma:contentTypeID="0x0101006AC3765A0786A4449984FA6528730044009955D99867F9FF4489F2087A1DCC9D14" ma:contentTypeVersion="730" ma:contentTypeDescription="Ein neues Dokument erstellen." ma:contentTypeScope="" ma:versionID="09c766455355cefac1c7f2f06b8590fd">
  <xsd:schema xmlns:xsd="http://www.w3.org/2001/XMLSchema" xmlns:xs="http://www.w3.org/2001/XMLSchema" xmlns:p="http://schemas.microsoft.com/office/2006/metadata/properties" xmlns:ns2="27819eda-e351-45b6-a2d1-d831f05793df" xmlns:ns3="68ae7dd2-07f9-4d22-aba4-16bf36411cb5" targetNamespace="http://schemas.microsoft.com/office/2006/metadata/properties" ma:root="true" ma:fieldsID="7f17efcc4bd2e72887ca85f8f16e4ba6" ns2:_="" ns3:_="">
    <xsd:import namespace="27819eda-e351-45b6-a2d1-d831f05793df"/>
    <xsd:import namespace="68ae7dd2-07f9-4d22-aba4-16bf36411cb5"/>
    <xsd:element name="properties">
      <xsd:complexType>
        <xsd:sequence>
          <xsd:element name="documentManagement">
            <xsd:complexType>
              <xsd:all>
                <xsd:element ref="ns2:na74073760a4466d89e9b0086664636b" minOccurs="0"/>
                <xsd:element ref="ns2:TaxCatchAll" minOccurs="0"/>
                <xsd:element ref="ns2:TaxCatchAllLabel" minOccurs="0"/>
                <xsd:element ref="ns2:gecc8a7b92dc4143b40ed966b67d8c43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2:hac83ba79a7843a991293e3ec836598f" minOccurs="0"/>
                <xsd:element ref="ns2:mf77967b98324d2a8d9f1a70513f7b6e" minOccurs="0"/>
                <xsd:element ref="ns2:l3d3e07b7aae4a37a14d75273a4e8ffb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19eda-e351-45b6-a2d1-d831f05793df" elementFormDefault="qualified">
    <xsd:import namespace="http://schemas.microsoft.com/office/2006/documentManagement/types"/>
    <xsd:import namespace="http://schemas.microsoft.com/office/infopath/2007/PartnerControls"/>
    <xsd:element name="na74073760a4466d89e9b0086664636b" ma:index="8" nillable="true" ma:taxonomy="true" ma:internalName="na74073760a4466d89e9b0086664636b" ma:taxonomyFieldName="CRBDocumentConfidentiality" ma:displayName="Vertraulichkeit" ma:default="3;#nicht klassifiziert|e9a63179-acab-4ffe-b80d-50b63910b599" ma:fieldId="{7a740737-60a4-466d-89e9-b0086664636b}" ma:sspId="126264fd-0fbe-4c48-9126-7f35911828a3" ma:termSetId="78959b6b-c626-41e7-9392-edaa97577a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01f82b23-1ade-4720-a83a-d9ff41de23d3}" ma:internalName="TaxCatchAll" ma:showField="CatchAllData" ma:web="27819eda-e351-45b6-a2d1-d831f05793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01f82b23-1ade-4720-a83a-d9ff41de23d3}" ma:internalName="TaxCatchAllLabel" ma:readOnly="true" ma:showField="CatchAllDataLabel" ma:web="27819eda-e351-45b6-a2d1-d831f05793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cc8a7b92dc4143b40ed966b67d8c43" ma:index="12" nillable="true" ma:taxonomy="true" ma:internalName="gecc8a7b92dc4143b40ed966b67d8c43" ma:taxonomyFieldName="CRBDocumentType" ma:displayName="Dokumenttyp" ma:readOnly="false" ma:default="" ma:fieldId="{0ecc8a7b-92dc-4143-b40e-d966b67d8c43}" ma:sspId="126264fd-0fbe-4c48-9126-7f35911828a3" ma:termSetId="a67ae8b6-9ed5-445f-b98f-9829d185bf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4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5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SharedWithUsers" ma:index="2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hac83ba79a7843a991293e3ec836598f" ma:index="28" nillable="true" ma:taxonomy="true" ma:internalName="hac83ba79a7843a991293e3ec836598f" ma:taxonomyFieldName="CRBProductService" ma:displayName="Produkte/Dienstleistungen" ma:default="" ma:fieldId="{1ac83ba7-9a78-43a9-9129-3e3ec836598f}" ma:taxonomyMulti="true" ma:sspId="126264fd-0fbe-4c48-9126-7f35911828a3" ma:termSetId="72a0912a-f609-466d-8b80-4a8776dc3d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77967b98324d2a8d9f1a70513f7b6e" ma:index="30" nillable="true" ma:taxonomy="true" ma:internalName="mf77967b98324d2a8d9f1a70513f7b6e" ma:taxonomyFieldName="CRBDocumentLanguage" ma:displayName="Dokumentsprache" ma:default="5;#Deutsch|c64f71a8-8878-4990-be64-596a8dd67008" ma:fieldId="{6f77967b-9832-4d2a-8d9f-1a70513f7b6e}" ma:sspId="126264fd-0fbe-4c48-9126-7f35911828a3" ma:termSetId="4566e054-1b4e-423f-8c24-921a75bbb7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3d3e07b7aae4a37a14d75273a4e8ffb" ma:index="32" nillable="true" ma:taxonomy="true" ma:internalName="l3d3e07b7aae4a37a14d75273a4e8ffb" ma:taxonomyFieldName="CRBDocumentTags" ma:displayName="Tags" ma:default="" ma:fieldId="{53d3e07b-7aae-4a37-a14d-75273a4e8ffb}" ma:taxonomyMulti="true" ma:sspId="126264fd-0fbe-4c48-9126-7f35911828a3" ma:termSetId="9e177c12-8119-4e30-b99e-4527d34b68a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e7dd2-07f9-4d22-aba4-16bf36411c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LengthInSeconds" ma:index="3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7" nillable="true" ma:taxonomy="true" ma:internalName="lcf76f155ced4ddcb4097134ff3c332f" ma:taxonomyFieldName="MediaServiceImageTags" ma:displayName="Bildmarkierungen" ma:readOnly="false" ma:fieldId="{5cf76f15-5ced-4ddc-b409-7134ff3c332f}" ma:taxonomyMulti="true" ma:sspId="126264fd-0fbe-4c48-9126-7f35911828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74073760a4466d89e9b0086664636b xmlns="27819eda-e351-45b6-a2d1-d831f05793df">
      <Terms xmlns="http://schemas.microsoft.com/office/infopath/2007/PartnerControls">
        <TermInfo xmlns="http://schemas.microsoft.com/office/infopath/2007/PartnerControls">
          <TermName xmlns="http://schemas.microsoft.com/office/infopath/2007/PartnerControls">nicht klassifiziert</TermName>
          <TermId xmlns="http://schemas.microsoft.com/office/infopath/2007/PartnerControls">e9a63179-acab-4ffe-b80d-50b63910b599</TermId>
        </TermInfo>
      </Terms>
    </na74073760a4466d89e9b0086664636b>
    <hac83ba79a7843a991293e3ec836598f xmlns="27819eda-e351-45b6-a2d1-d831f05793df">
      <Terms xmlns="http://schemas.microsoft.com/office/infopath/2007/PartnerControls"/>
    </hac83ba79a7843a991293e3ec836598f>
    <mf77967b98324d2a8d9f1a70513f7b6e xmlns="27819eda-e351-45b6-a2d1-d831f05793df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Deutsch</TermName>
          <TermId xmlns="http://schemas.microsoft.com/office/infopath/2007/PartnerControls">c64f71a8-8878-4990-be64-596a8dd67008</TermId>
        </TermInfo>
      </Terms>
    </mf77967b98324d2a8d9f1a70513f7b6e>
    <lcf76f155ced4ddcb4097134ff3c332f xmlns="68ae7dd2-07f9-4d22-aba4-16bf36411cb5">
      <Terms xmlns="http://schemas.microsoft.com/office/infopath/2007/PartnerControls"/>
    </lcf76f155ced4ddcb4097134ff3c332f>
    <TaxCatchAll xmlns="27819eda-e351-45b6-a2d1-d831f05793df">
      <Value>4</Value>
      <Value>3</Value>
      <Value>2</Value>
    </TaxCatchAll>
    <l3d3e07b7aae4a37a14d75273a4e8ffb xmlns="27819eda-e351-45b6-a2d1-d831f05793df">
      <Terms xmlns="http://schemas.microsoft.com/office/infopath/2007/PartnerControls"/>
    </l3d3e07b7aae4a37a14d75273a4e8ffb>
    <gecc8a7b92dc4143b40ed966b67d8c43 xmlns="27819eda-e351-45b6-a2d1-d831f05793df">
      <Terms xmlns="http://schemas.microsoft.com/office/infopath/2007/PartnerControls"/>
    </gecc8a7b92dc4143b40ed966b67d8c43>
    <_dlc_DocId xmlns="27819eda-e351-45b6-a2d1-d831f05793df">CRBDOC0080-1146401013-432252</_dlc_DocId>
    <_dlc_DocIdUrl xmlns="27819eda-e351-45b6-a2d1-d831f05793df">
      <Url>https://crbch.sharepoint.com/sites/prj-prd/_layouts/15/DocIdRedir.aspx?ID=CRBDOC0080-1146401013-432252</Url>
      <Description>CRBDOC0080-1146401013-432252</Description>
    </_dlc_DocIdUrl>
  </documentManagement>
</p:properties>
</file>

<file path=customXml/itemProps1.xml><?xml version="1.0" encoding="utf-8"?>
<ds:datastoreItem xmlns:ds="http://schemas.openxmlformats.org/officeDocument/2006/customXml" ds:itemID="{92B1BF44-F9A4-46A4-BC32-D4CFAE75D122}"/>
</file>

<file path=customXml/itemProps2.xml><?xml version="1.0" encoding="utf-8"?>
<ds:datastoreItem xmlns:ds="http://schemas.openxmlformats.org/officeDocument/2006/customXml" ds:itemID="{19378CEB-32F9-4312-AC1D-A698A1DA5360}"/>
</file>

<file path=customXml/itemProps3.xml><?xml version="1.0" encoding="utf-8"?>
<ds:datastoreItem xmlns:ds="http://schemas.openxmlformats.org/officeDocument/2006/customXml" ds:itemID="{C39EAFDC-9577-48AA-9B7C-173C165741A2}"/>
</file>

<file path=customXml/itemProps4.xml><?xml version="1.0" encoding="utf-8"?>
<ds:datastoreItem xmlns:ds="http://schemas.openxmlformats.org/officeDocument/2006/customXml" ds:itemID="{180D4116-FD28-4851-A385-2A8DB68FD3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2023-03-07T10:10:47Z</dcterms:created>
  <dcterms:modified xsi:type="dcterms:W3CDTF">2023-03-07T10:10:47Z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2023-03-07T00:00:00Z</vt:filetime>
  </property>
  <property fmtid="{D5CDD505-2E9C-101B-9397-08002B2CF9AE}" pid="5" name="Producer">
    <vt:lpwstr>wPDF4 x64 by WPCubed GmbH</vt:lpwstr>
  </property>
  <property fmtid="{D5CDD505-2E9C-101B-9397-08002B2CF9AE}" pid="6" name="ContentTypeId">
    <vt:lpwstr>0x0101006AC3765A0786A4449984FA6528730044009955D99867F9FF4489F2087A1DCC9D14</vt:lpwstr>
  </property>
  <property fmtid="{D5CDD505-2E9C-101B-9397-08002B2CF9AE}" pid="7" name="kffc5fbcca014a279587992f4ed89d7a">
    <vt:lpwstr>Entwurf|4e2781bd-20f0-431b-b6b7-f25c3d75ccc3</vt:lpwstr>
  </property>
  <property fmtid="{D5CDD505-2E9C-101B-9397-08002B2CF9AE}" pid="8" name="_dlc_DocIdItemGuid">
    <vt:lpwstr>fa953f78-1bc6-4de3-b96a-1fe16d0d9153</vt:lpwstr>
  </property>
  <property fmtid="{D5CDD505-2E9C-101B-9397-08002B2CF9AE}" pid="9" name="CRBDocumentLanguage">
    <vt:lpwstr>4;#Deutsch|c64f71a8-8878-4990-be64-596a8dd67008</vt:lpwstr>
  </property>
  <property fmtid="{D5CDD505-2E9C-101B-9397-08002B2CF9AE}" pid="10" name="CRBDocumentConfidentiality">
    <vt:lpwstr>2;#nicht klassifiziert|e9a63179-acab-4ffe-b80d-50b63910b599</vt:lpwstr>
  </property>
  <property fmtid="{D5CDD505-2E9C-101B-9397-08002B2CF9AE}" pid="11" name="CRBDocumentTags">
    <vt:lpwstr/>
  </property>
  <property fmtid="{D5CDD505-2E9C-101B-9397-08002B2CF9AE}" pid="12" name="CRBQuarter">
    <vt:lpwstr/>
  </property>
  <property fmtid="{D5CDD505-2E9C-101B-9397-08002B2CF9AE}" pid="13" name="MediaServiceImageTags">
    <vt:lpwstr/>
  </property>
  <property fmtid="{D5CDD505-2E9C-101B-9397-08002B2CF9AE}" pid="14" name="CRBProductService">
    <vt:lpwstr/>
  </property>
  <property fmtid="{D5CDD505-2E9C-101B-9397-08002B2CF9AE}" pid="15" name="oba584a1513544f48972e82f0d438173">
    <vt:lpwstr/>
  </property>
  <property fmtid="{D5CDD505-2E9C-101B-9397-08002B2CF9AE}" pid="16" name="CRBRegulationStatusTerm">
    <vt:lpwstr>3;#Entwurf|4e2781bd-20f0-431b-b6b7-f25c3d75ccc3</vt:lpwstr>
  </property>
  <property fmtid="{D5CDD505-2E9C-101B-9397-08002B2CF9AE}" pid="17" name="CRBOfferStatus">
    <vt:lpwstr/>
  </property>
  <property fmtid="{D5CDD505-2E9C-101B-9397-08002B2CF9AE}" pid="18" name="ddb89087ffe6432caf4253177aabd1d0">
    <vt:lpwstr/>
  </property>
  <property fmtid="{D5CDD505-2E9C-101B-9397-08002B2CF9AE}" pid="19" name="CRBDocumentType">
    <vt:lpwstr/>
  </property>
</Properties>
</file>